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0B4F" w14:textId="77777777" w:rsidR="00420FCD" w:rsidRPr="00420FCD" w:rsidRDefault="00420FCD" w:rsidP="00420FCD">
      <w:pPr>
        <w:spacing w:after="160" w:line="278" w:lineRule="auto"/>
        <w:ind w:left="270" w:right="1587"/>
        <w:rPr>
          <w:rFonts w:ascii="Aptos" w:eastAsia="Aptos" w:hAnsi="Aptos"/>
          <w:b/>
          <w:bCs/>
          <w:kern w:val="2"/>
          <w:sz w:val="28"/>
          <w:szCs w:val="28"/>
          <w14:ligatures w14:val="standardContextual"/>
        </w:rPr>
      </w:pPr>
      <w:r>
        <w:rPr>
          <w:rFonts w:ascii="Aptos" w:hAnsi="Aptos"/>
          <w:b/>
          <w:sz w:val="28"/>
        </w:rPr>
        <w:t>AMATECHNICA 2026 atrae a unos 7000 visitantes profesionales de 43 países</w:t>
      </w:r>
    </w:p>
    <w:p w14:paraId="620D9AA2" w14:textId="77777777" w:rsidR="00420FCD" w:rsidRPr="00420FCD" w:rsidRDefault="00420FCD" w:rsidP="00420FCD">
      <w:pPr>
        <w:spacing w:after="160" w:line="278" w:lineRule="auto"/>
        <w:ind w:left="270" w:right="1587"/>
        <w:rPr>
          <w:rFonts w:ascii="Aptos" w:eastAsia="Aptos" w:hAnsi="Aptos"/>
          <w:i/>
          <w:iCs/>
          <w:kern w:val="2"/>
          <w14:ligatures w14:val="standardContextual"/>
        </w:rPr>
      </w:pPr>
      <w:r>
        <w:rPr>
          <w:rFonts w:ascii="Aptos" w:hAnsi="Aptos"/>
          <w:i/>
        </w:rPr>
        <w:t>Feria interna internacional en la sede central de AMAZONE, con especial énfasis en la comunicación y la innovación.</w:t>
      </w:r>
    </w:p>
    <w:p w14:paraId="3EF216E3"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p>
    <w:p w14:paraId="6864DABA" w14:textId="2404DF91"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b/>
        </w:rPr>
        <w:t>Hasbergen-Gaste, 21 de mayo de 2026.</w:t>
      </w:r>
      <w:r>
        <w:rPr>
          <w:rFonts w:ascii="Aptos" w:hAnsi="Aptos"/>
        </w:rPr>
        <w:t xml:space="preserve"> La feria AMATECHNICA se mostró en todo su esplendor y volvió a demostrar su importancia internacional. Cerca de 7000 agricultores, contratistas agrícolas y socios comerciales de 43 países aprovecharon la feria interna celebrada en la sede central de AMAZONE para informarse sobre las últimas novedades e innovaciones en el sector de la tecnología agrícola.</w:t>
      </w:r>
    </w:p>
    <w:p w14:paraId="002810BA" w14:textId="166A1DAE"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Bajo el lema «Ideas for our future», AMAZONE presentó en la feria un programa muy variado con exhibiciones de productos, información especializada y numerosas oportunidades para el intercambio personal. Las impresionantes demostraciones en directo de las novedades de la Agritechnica y las últimas innovaciones de producto de todas las áreas de especialización de AMAZONE en tecnología agrícola y de aplicación en el ámbito municipal resultaron ser un gran atractivo para el público. Entre ellas destacaron, por ejemplo, la abonadora de ajuste automático ZA</w:t>
      </w:r>
      <w:r>
        <w:rPr>
          <w:rFonts w:ascii="Aptos" w:hAnsi="Aptos"/>
        </w:rPr>
        <w:noBreakHyphen/>
        <w:t xml:space="preserve">TS 01 AutoSpread y el pulverizador autopropulsado Pantera 4504, equipado con la última generación de cabinas de confort. Además, AMAZONE informó sobre su actual colaboración con CultiWise. El objetivo de esta colaboración estratégica es seguir simplificando las aplicaciones digitales para el Smart Farming y lograr que su uso sea aún más preciso mediante mapas de aplicación basados en satélites y, en particular, en drones. </w:t>
      </w:r>
    </w:p>
    <w:p w14:paraId="1C166C6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Un elemento central del evento fue el «Walk of Innovation», que guio a los visitantes a través de temas clave para el futuro de la agricultura. Se presentaron soluciones tecnológicas y digitales para una gestión más eficiente y aún más respetuosa con los recursos. Los asesores especializados de AMAZONE y de numerosas empresas asociadas mantuvieron intensas conversaciones con agricultores, contratistas agrícolas y socios comerciales. </w:t>
      </w:r>
    </w:p>
    <w:p w14:paraId="2349E4DE"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Otro punto del programa fue la subasta de maquinaria usada de AMAZONE reciente. La estrecha integración de la subasta en el programa de la feria puso de relieve el enfoque integral de la AMATECHNICA, que combina tecnología, información y opciones de inversión concretas. La subasta alcanzó un importe de alrededor de 1 millón de euros.</w:t>
      </w:r>
    </w:p>
    <w:p w14:paraId="64DDF003"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Las actividades complementarias del programa también tuvieron una gran acogida. Las visitas guiadas a la fábrica, una amplia exposición de maquinaria y una muestra de vehículos antiguos con cerca de 120 tractores históricos permitieron conocer </w:t>
      </w:r>
      <w:r>
        <w:rPr>
          <w:rFonts w:ascii="Aptos" w:hAnsi="Aptos"/>
        </w:rPr>
        <w:lastRenderedPageBreak/>
        <w:t xml:space="preserve">mejor la tecnología y su evolución. Además, muchos visitantes utilizaron el servicio de lanzadera para visitar el centro de piezas de repuesto y el centro de maquinaria usada de Tecklenburg-Leeden, así como la granja experimental de Wambergen, donde se prueban conceptos agrícolas innovadores. Allí se encuentra también el museo de AMAZONE, que cuenta con una amplia colección de objetos expuestos de diferentes épocas de la historia de la empresa. </w:t>
      </w:r>
    </w:p>
    <w:p w14:paraId="314D9B5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Asimismo, las ponencias aportaron impulsos especializados que abordan de forma práctica temas de actualidad como la agricultura de precisión y las soluciones digitales para incrementar la eficiencia, la sostenibilidad y la comodidad de uso. La AMATECHNICA 2026 se completó con un evento nocturno con música en directo en la carpa principal.</w:t>
      </w:r>
    </w:p>
    <w:p w14:paraId="094D93A1"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AMAZONE hace un balance muy positivo de esta gran cita internacional, que celebra su décima edición, y agradece a todos los participantes su gran compromiso y la excelente acogida que ha recibido.</w:t>
      </w:r>
    </w:p>
    <w:p w14:paraId="0025495B"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p>
    <w:p w14:paraId="5256FE6C" w14:textId="77777777" w:rsidR="007639FE" w:rsidRDefault="007639FE" w:rsidP="00420FCD">
      <w:pPr>
        <w:spacing w:after="120" w:line="360" w:lineRule="auto"/>
        <w:ind w:left="270" w:right="1587"/>
        <w:rPr>
          <w:rFonts w:ascii="Arial" w:hAnsi="Arial" w:cs="Arial"/>
          <w:bCs/>
        </w:rPr>
      </w:pPr>
    </w:p>
    <w:p w14:paraId="6E6B59EF" w14:textId="77777777" w:rsidR="007639FE" w:rsidRDefault="007639FE" w:rsidP="00420FCD">
      <w:pPr>
        <w:spacing w:after="120" w:line="360" w:lineRule="auto"/>
        <w:ind w:left="270" w:right="1587"/>
        <w:rPr>
          <w:rFonts w:ascii="Arial" w:hAnsi="Arial" w:cs="Arial"/>
          <w:bCs/>
        </w:rPr>
      </w:pPr>
    </w:p>
    <w:p w14:paraId="27662AD3" w14:textId="77777777" w:rsidR="004A4E71" w:rsidRDefault="004A4E71" w:rsidP="00420FCD">
      <w:pPr>
        <w:ind w:left="270" w:right="1587"/>
        <w:rPr>
          <w:rFonts w:ascii="Arial" w:hAnsi="Arial" w:cs="Arial"/>
          <w:bCs/>
        </w:rPr>
      </w:pPr>
      <w:r>
        <w:br w:type="page"/>
      </w:r>
    </w:p>
    <w:p w14:paraId="42F1EC3E"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5600E89B"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7BE8533A" w14:textId="3ECA173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con cerca de 2700 empleados distribuidos entre 8 plantas de producción, el Global Parts Center, el Global Machinery Center y 11 sucursales de ventas. La gama de maquinaria agrícola incluye tratamiento del suelo, sembradoras, abonadoras, equipos de protección de cultivos y tecnología de azada. Basándose en estas competencias clave, AMAZONE es hoy el especialista agrícola en “producción de cultivos inteligente”. AMAZONE también ofrece máquinas municipales versátiles para el mantenimiento de parques y superficies verdes, así como para el servicio de invierno. Más información: </w:t>
      </w:r>
      <w:hyperlink r:id="rId8" w:history="1">
        <w:r w:rsidR="00E2485A" w:rsidRPr="0070058B">
          <w:rPr>
            <w:rStyle w:val="Hyperlink"/>
            <w:rFonts w:ascii="Arial" w:hAnsi="Arial"/>
            <w:sz w:val="20"/>
          </w:rPr>
          <w:t>www.amazone.net</w:t>
        </w:r>
      </w:hyperlink>
    </w:p>
    <w:p w14:paraId="1ACDDEDE"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6EBBBC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4"/>
      <w:footerReference w:type="default" r:id="rId25"/>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06F1" w14:textId="77777777" w:rsidR="00D542F0" w:rsidRDefault="00D542F0">
      <w:r>
        <w:separator/>
      </w:r>
    </w:p>
  </w:endnote>
  <w:endnote w:type="continuationSeparator" w:id="0">
    <w:p w14:paraId="24CB7E3A" w14:textId="77777777" w:rsidR="00D542F0" w:rsidRDefault="00D5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5002EFF" w:usb1="C200ACF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4F0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A50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45D29"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0761AA8A" w14:textId="3E085A0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E2485A">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0761AA8A" w14:textId="3E085A0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E2485A">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83BB" w14:textId="77777777" w:rsidR="00D542F0" w:rsidRDefault="00D542F0">
      <w:r>
        <w:separator/>
      </w:r>
    </w:p>
  </w:footnote>
  <w:footnote w:type="continuationSeparator" w:id="0">
    <w:p w14:paraId="26A25565" w14:textId="77777777" w:rsidR="00D542F0" w:rsidRDefault="00D54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15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Nota de prensa mayo de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Nota de prensa mayo de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020C6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2098A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C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47DC"/>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BA8"/>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2DD3"/>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4C24"/>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B1"/>
    <w:rsid w:val="00411277"/>
    <w:rsid w:val="00412D1B"/>
    <w:rsid w:val="0041306D"/>
    <w:rsid w:val="00413859"/>
    <w:rsid w:val="0041402A"/>
    <w:rsid w:val="004155DD"/>
    <w:rsid w:val="00415D98"/>
    <w:rsid w:val="00415F06"/>
    <w:rsid w:val="0041630E"/>
    <w:rsid w:val="00417474"/>
    <w:rsid w:val="00420FCD"/>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97FE0"/>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1E2"/>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163"/>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B7"/>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67EC"/>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42F0"/>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485A"/>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A98"/>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236E109"/>
  <w15:docId w15:val="{130E3963-B2CB-466F-90C1-2A6269D4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24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664</Words>
  <Characters>3763</Characters>
  <Application>Microsoft Office Word</Application>
  <DocSecurity>0</DocSecurity>
  <Lines>67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5</cp:revision>
  <cp:lastPrinted>2010-02-24T09:10:00Z</cp:lastPrinted>
  <dcterms:created xsi:type="dcterms:W3CDTF">2026-05-22T08:13:00Z</dcterms:created>
  <dcterms:modified xsi:type="dcterms:W3CDTF">2026-06-16T07:46:00Z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